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7" w:rsidRPr="003A7410" w:rsidRDefault="007D3717" w:rsidP="007D3717">
      <w:pPr>
        <w:jc w:val="center"/>
        <w:rPr>
          <w:bCs/>
          <w:sz w:val="32"/>
          <w:szCs w:val="32"/>
          <w:lang w:eastAsia="zh-CN"/>
        </w:rPr>
      </w:pPr>
      <w:r w:rsidRPr="003A7410">
        <w:rPr>
          <w:bCs/>
          <w:sz w:val="32"/>
          <w:szCs w:val="32"/>
          <w:lang w:eastAsia="zh-CN"/>
        </w:rPr>
        <w:t>МИНИСТЕРСТВО КУЛЬТУРЫ РОССИЙСКОЙ ФЕДЕРАЦИИ</w:t>
      </w:r>
    </w:p>
    <w:p w:rsidR="007D3717" w:rsidRPr="003A7410" w:rsidRDefault="007D3717" w:rsidP="007D3717">
      <w:pPr>
        <w:jc w:val="center"/>
        <w:rPr>
          <w:bCs/>
          <w:sz w:val="32"/>
          <w:szCs w:val="32"/>
          <w:lang w:eastAsia="zh-CN"/>
        </w:rPr>
      </w:pPr>
      <w:r w:rsidRPr="003A7410">
        <w:rPr>
          <w:bCs/>
          <w:sz w:val="32"/>
          <w:szCs w:val="32"/>
          <w:lang w:eastAsia="zh-CN"/>
        </w:rPr>
        <w:t>ФЕДЕРАЛЬНОЕ ГОСУДАРСТВЕННОЕ БЮДЖЕТНОЕ</w:t>
      </w:r>
    </w:p>
    <w:p w:rsidR="007D3717" w:rsidRPr="003A7410" w:rsidRDefault="007D3717" w:rsidP="007D3717">
      <w:pPr>
        <w:jc w:val="center"/>
        <w:rPr>
          <w:bCs/>
          <w:sz w:val="32"/>
          <w:szCs w:val="32"/>
          <w:lang w:eastAsia="zh-CN"/>
        </w:rPr>
      </w:pPr>
      <w:r w:rsidRPr="003A7410">
        <w:rPr>
          <w:bCs/>
          <w:sz w:val="32"/>
          <w:szCs w:val="32"/>
          <w:lang w:eastAsia="zh-CN"/>
        </w:rPr>
        <w:t>ОБРАЗОВАТЕЛЬНОЕ УЧРЕЖДЕНИЕ</w:t>
      </w:r>
    </w:p>
    <w:p w:rsidR="007D3717" w:rsidRPr="003A7410" w:rsidRDefault="007D3717" w:rsidP="007D3717">
      <w:pPr>
        <w:jc w:val="center"/>
        <w:rPr>
          <w:bCs/>
          <w:sz w:val="32"/>
          <w:szCs w:val="32"/>
          <w:lang w:eastAsia="zh-CN"/>
        </w:rPr>
      </w:pPr>
      <w:r w:rsidRPr="003A7410">
        <w:rPr>
          <w:bCs/>
          <w:sz w:val="32"/>
          <w:szCs w:val="32"/>
          <w:lang w:eastAsia="zh-CN"/>
        </w:rPr>
        <w:t>ВЫСШЕГО ОБРАЗОВАНИЯ</w:t>
      </w:r>
    </w:p>
    <w:p w:rsidR="007D3717" w:rsidRPr="003A7410" w:rsidRDefault="007D3717" w:rsidP="007D3717">
      <w:pPr>
        <w:ind w:left="360"/>
        <w:jc w:val="center"/>
        <w:rPr>
          <w:b/>
          <w:bCs/>
          <w:sz w:val="32"/>
          <w:szCs w:val="32"/>
        </w:rPr>
      </w:pPr>
      <w:r w:rsidRPr="003A7410">
        <w:rPr>
          <w:b/>
          <w:bCs/>
          <w:sz w:val="32"/>
          <w:szCs w:val="32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vertAnchor="text" w:horzAnchor="page" w:tblpX="6961" w:tblpY="263"/>
        <w:tblW w:w="4672" w:type="dxa"/>
        <w:tblLook w:val="04A0"/>
      </w:tblPr>
      <w:tblGrid>
        <w:gridCol w:w="4672"/>
      </w:tblGrid>
      <w:tr w:rsidR="007D3717" w:rsidRPr="003A7410" w:rsidTr="00ED3C10">
        <w:tc>
          <w:tcPr>
            <w:tcW w:w="4672" w:type="dxa"/>
            <w:shd w:val="clear" w:color="auto" w:fill="auto"/>
          </w:tcPr>
          <w:p w:rsidR="007D3717" w:rsidRPr="000C4ECB" w:rsidRDefault="007D3717" w:rsidP="00ED3C10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0C54E9" w:rsidRPr="000C4ECB" w:rsidRDefault="000C54E9" w:rsidP="000C54E9">
            <w:pPr>
              <w:suppressAutoHyphens/>
              <w:spacing w:line="254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0C4ECB">
              <w:rPr>
                <w:b/>
                <w:bCs/>
                <w:sz w:val="28"/>
                <w:szCs w:val="28"/>
                <w:lang w:eastAsia="en-US"/>
              </w:rPr>
              <w:t xml:space="preserve">УТВЕРЖДАЮ:                                                       </w:t>
            </w:r>
          </w:p>
          <w:p w:rsidR="000C54E9" w:rsidRPr="000C4ECB" w:rsidRDefault="000C54E9" w:rsidP="000C54E9">
            <w:pPr>
              <w:suppressAutoHyphens/>
              <w:spacing w:line="254" w:lineRule="auto"/>
              <w:ind w:right="27"/>
              <w:rPr>
                <w:b/>
                <w:bCs/>
                <w:sz w:val="28"/>
                <w:szCs w:val="28"/>
                <w:lang w:eastAsia="en-US"/>
              </w:rPr>
            </w:pPr>
            <w:r w:rsidRPr="000C4ECB">
              <w:rPr>
                <w:b/>
                <w:bCs/>
                <w:sz w:val="28"/>
                <w:szCs w:val="28"/>
                <w:lang w:eastAsia="en-US"/>
              </w:rPr>
              <w:t xml:space="preserve">Председатель учебно-методического совета факультета </w:t>
            </w:r>
          </w:p>
          <w:p w:rsidR="000C54E9" w:rsidRPr="000C4ECB" w:rsidRDefault="000C54E9" w:rsidP="000C54E9">
            <w:pPr>
              <w:suppressAutoHyphens/>
              <w:spacing w:line="254" w:lineRule="auto"/>
              <w:ind w:right="27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0C4ECB">
              <w:rPr>
                <w:b/>
                <w:bCs/>
                <w:sz w:val="28"/>
                <w:szCs w:val="28"/>
                <w:lang w:eastAsia="en-US"/>
              </w:rPr>
              <w:t>Государственной культурной политики</w:t>
            </w:r>
          </w:p>
          <w:p w:rsidR="000C54E9" w:rsidRPr="000C4ECB" w:rsidRDefault="000C54E9" w:rsidP="000C54E9">
            <w:pPr>
              <w:suppressAutoHyphens/>
              <w:spacing w:line="254" w:lineRule="auto"/>
              <w:ind w:right="27"/>
              <w:rPr>
                <w:b/>
                <w:bCs/>
                <w:sz w:val="28"/>
                <w:szCs w:val="28"/>
                <w:lang w:eastAsia="en-US"/>
              </w:rPr>
            </w:pPr>
            <w:r w:rsidRPr="000C4ECB"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0C4ECB" w:rsidRPr="000C4ECB">
              <w:rPr>
                <w:b/>
                <w:bCs/>
                <w:sz w:val="28"/>
                <w:szCs w:val="28"/>
                <w:lang w:eastAsia="en-US"/>
              </w:rPr>
              <w:t>Единак</w:t>
            </w:r>
            <w:proofErr w:type="spellEnd"/>
            <w:r w:rsidR="000C4ECB" w:rsidRPr="000C4ECB">
              <w:rPr>
                <w:b/>
                <w:bCs/>
                <w:sz w:val="28"/>
                <w:szCs w:val="28"/>
                <w:lang w:eastAsia="en-US"/>
              </w:rPr>
              <w:t xml:space="preserve"> А.Ю.</w:t>
            </w:r>
          </w:p>
          <w:p w:rsidR="000C54E9" w:rsidRPr="000C4ECB" w:rsidRDefault="000C4ECB" w:rsidP="000C54E9">
            <w:pPr>
              <w:suppressAutoHyphens/>
              <w:spacing w:line="254" w:lineRule="auto"/>
              <w:ind w:right="27"/>
              <w:rPr>
                <w:b/>
                <w:bCs/>
                <w:i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sz w:val="28"/>
                <w:szCs w:val="28"/>
                <w:lang w:eastAsia="en-US"/>
              </w:rPr>
              <w:t>«</w:t>
            </w:r>
            <w:r>
              <w:rPr>
                <w:b/>
                <w:bCs/>
                <w:sz w:val="28"/>
                <w:szCs w:val="28"/>
                <w:lang w:eastAsia="en-US"/>
              </w:rPr>
              <w:t>30» августа 2021 г.</w:t>
            </w:r>
            <w:bookmarkStart w:id="0" w:name="_GoBack"/>
            <w:bookmarkEnd w:id="0"/>
          </w:p>
          <w:p w:rsidR="007D3717" w:rsidRPr="000C4ECB" w:rsidRDefault="007D3717" w:rsidP="00ED3C10">
            <w:pPr>
              <w:spacing w:after="160" w:line="259" w:lineRule="auto"/>
              <w:ind w:right="27"/>
              <w:rPr>
                <w:rFonts w:eastAsia="Calibri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7D3717" w:rsidRPr="003A7410" w:rsidRDefault="007D3717" w:rsidP="007D3717">
      <w:pPr>
        <w:spacing w:after="160" w:line="259" w:lineRule="auto"/>
        <w:ind w:right="27"/>
        <w:rPr>
          <w:rFonts w:eastAsia="Calibri"/>
          <w:sz w:val="28"/>
          <w:szCs w:val="28"/>
        </w:rPr>
      </w:pPr>
    </w:p>
    <w:p w:rsidR="007D3717" w:rsidRPr="003A7410" w:rsidRDefault="007D3717" w:rsidP="007D3717">
      <w:pPr>
        <w:spacing w:after="160" w:line="259" w:lineRule="auto"/>
        <w:ind w:right="27"/>
        <w:rPr>
          <w:rFonts w:eastAsia="Calibri"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ind w:left="567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327" w:type="dxa"/>
        <w:tblLook w:val="04A0"/>
      </w:tblPr>
      <w:tblGrid>
        <w:gridCol w:w="676"/>
        <w:gridCol w:w="181"/>
        <w:gridCol w:w="4921"/>
        <w:gridCol w:w="3456"/>
        <w:gridCol w:w="524"/>
        <w:gridCol w:w="569"/>
      </w:tblGrid>
      <w:tr w:rsidR="007D3717" w:rsidRPr="003A7410" w:rsidTr="00ED3C10">
        <w:trPr>
          <w:trHeight w:val="354"/>
        </w:trPr>
        <w:tc>
          <w:tcPr>
            <w:tcW w:w="857" w:type="dxa"/>
            <w:gridSpan w:val="2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377" w:type="dxa"/>
            <w:gridSpan w:val="2"/>
            <w:shd w:val="clear" w:color="auto" w:fill="auto"/>
          </w:tcPr>
          <w:p w:rsidR="007D3717" w:rsidRPr="003A7410" w:rsidRDefault="007D3717" w:rsidP="00ED3C10">
            <w:pPr>
              <w:rPr>
                <w:b/>
                <w:bCs/>
                <w:sz w:val="28"/>
                <w:szCs w:val="28"/>
              </w:rPr>
            </w:pP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099E">
              <w:rPr>
                <w:b/>
                <w:bCs/>
                <w:i/>
                <w:sz w:val="28"/>
                <w:szCs w:val="28"/>
              </w:rPr>
              <w:t xml:space="preserve">МЕТОДИЧЕСКИЕ РЕКОМЕНДАЦИИ ПО ДИСЦИПЛИНЕ </w:t>
            </w: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:rsidR="007D3717" w:rsidRDefault="000C4ECB" w:rsidP="007D37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Б</w:t>
            </w:r>
            <w:proofErr w:type="gramStart"/>
            <w:r>
              <w:rPr>
                <w:b/>
                <w:bCs/>
                <w:i/>
                <w:sz w:val="28"/>
                <w:szCs w:val="28"/>
              </w:rPr>
              <w:t>1</w:t>
            </w:r>
            <w:proofErr w:type="gramEnd"/>
            <w:r>
              <w:rPr>
                <w:b/>
                <w:bCs/>
                <w:i/>
                <w:sz w:val="28"/>
                <w:szCs w:val="28"/>
              </w:rPr>
              <w:t>.О.2</w:t>
            </w:r>
            <w:r w:rsidR="006E45AC">
              <w:rPr>
                <w:b/>
                <w:bCs/>
                <w:i/>
                <w:sz w:val="28"/>
                <w:szCs w:val="28"/>
              </w:rPr>
              <w:t>7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7D3717" w:rsidRPr="00EA099E">
              <w:rPr>
                <w:b/>
                <w:bCs/>
                <w:i/>
                <w:sz w:val="28"/>
                <w:szCs w:val="28"/>
              </w:rPr>
              <w:t>МИРОВ</w:t>
            </w:r>
            <w:r w:rsidR="008E07C2">
              <w:rPr>
                <w:b/>
                <w:bCs/>
                <w:i/>
                <w:sz w:val="28"/>
                <w:szCs w:val="28"/>
              </w:rPr>
              <w:t>АЯ</w:t>
            </w:r>
            <w:r w:rsidR="007D3717" w:rsidRPr="00EA099E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E07C2">
              <w:rPr>
                <w:b/>
                <w:bCs/>
                <w:i/>
                <w:sz w:val="28"/>
                <w:szCs w:val="28"/>
              </w:rPr>
              <w:t>Я</w:t>
            </w:r>
          </w:p>
          <w:p w:rsidR="00EA099E" w:rsidRPr="003A7410" w:rsidRDefault="00EA099E" w:rsidP="007D37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3" w:type="dxa"/>
            <w:gridSpan w:val="2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7D3717" w:rsidRPr="003A7410" w:rsidTr="00ED3C10">
        <w:trPr>
          <w:trHeight w:val="172"/>
        </w:trPr>
        <w:tc>
          <w:tcPr>
            <w:tcW w:w="676" w:type="dxa"/>
          </w:tcPr>
          <w:p w:rsidR="007D3717" w:rsidRPr="003A7410" w:rsidRDefault="007D3717" w:rsidP="00ED3C10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02" w:type="dxa"/>
            <w:gridSpan w:val="2"/>
          </w:tcPr>
          <w:p w:rsidR="007D3717" w:rsidRPr="003A7410" w:rsidRDefault="007D3717" w:rsidP="00ED3C10">
            <w:pPr>
              <w:tabs>
                <w:tab w:val="right" w:leader="underscore" w:pos="8505"/>
              </w:tabs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3A7410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Направление подготовки: </w:t>
            </w:r>
            <w:r w:rsidR="000C4ECB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51.03.01 Культурология</w:t>
            </w:r>
          </w:p>
          <w:p w:rsidR="007D3717" w:rsidRDefault="007D3717" w:rsidP="00ED3C10">
            <w:pPr>
              <w:tabs>
                <w:tab w:val="right" w:leader="underscore" w:pos="8505"/>
              </w:tabs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3A7410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Профиль подготовки:</w:t>
            </w:r>
          </w:p>
          <w:p w:rsidR="000C4ECB" w:rsidRPr="003A7410" w:rsidRDefault="000C4ECB" w:rsidP="00ED3C10">
            <w:pPr>
              <w:tabs>
                <w:tab w:val="right" w:leader="underscore" w:pos="8505"/>
              </w:tabs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Этнокультурология</w:t>
            </w:r>
            <w:proofErr w:type="spellEnd"/>
          </w:p>
        </w:tc>
        <w:tc>
          <w:tcPr>
            <w:tcW w:w="3980" w:type="dxa"/>
            <w:gridSpan w:val="2"/>
          </w:tcPr>
          <w:p w:rsidR="007D3717" w:rsidRPr="003A7410" w:rsidRDefault="007D3717" w:rsidP="00ED3C10">
            <w:pPr>
              <w:tabs>
                <w:tab w:val="right" w:leader="underscore" w:pos="8505"/>
              </w:tabs>
              <w:spacing w:line="256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69" w:type="dxa"/>
          </w:tcPr>
          <w:p w:rsidR="007D3717" w:rsidRPr="003A7410" w:rsidRDefault="007D3717" w:rsidP="00ED3C10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D3717" w:rsidRPr="003A7410" w:rsidTr="00ED3C10">
        <w:trPr>
          <w:trHeight w:val="67"/>
        </w:trPr>
        <w:tc>
          <w:tcPr>
            <w:tcW w:w="676" w:type="dxa"/>
          </w:tcPr>
          <w:p w:rsidR="007D3717" w:rsidRPr="003A7410" w:rsidRDefault="007D3717" w:rsidP="00ED3C10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02" w:type="dxa"/>
            <w:gridSpan w:val="2"/>
            <w:hideMark/>
          </w:tcPr>
          <w:p w:rsidR="007D3717" w:rsidRPr="003A7410" w:rsidRDefault="007D3717" w:rsidP="00ED3C10">
            <w:pPr>
              <w:tabs>
                <w:tab w:val="right" w:leader="underscore" w:pos="8505"/>
              </w:tabs>
              <w:spacing w:line="256" w:lineRule="auto"/>
              <w:jc w:val="both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3A7410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Квалификация выпускника: </w:t>
            </w:r>
          </w:p>
        </w:tc>
        <w:tc>
          <w:tcPr>
            <w:tcW w:w="3980" w:type="dxa"/>
            <w:gridSpan w:val="2"/>
          </w:tcPr>
          <w:p w:rsidR="007D3717" w:rsidRPr="003A7410" w:rsidRDefault="007D3717" w:rsidP="00ED3C10">
            <w:pPr>
              <w:tabs>
                <w:tab w:val="right" w:leader="underscore" w:pos="8505"/>
              </w:tabs>
              <w:spacing w:line="256" w:lineRule="auto"/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569" w:type="dxa"/>
          </w:tcPr>
          <w:p w:rsidR="007D3717" w:rsidRPr="003A7410" w:rsidRDefault="007D3717" w:rsidP="00ED3C10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3A7410">
        <w:rPr>
          <w:rFonts w:eastAsia="Calibri"/>
          <w:b/>
          <w:bCs/>
          <w:sz w:val="28"/>
          <w:szCs w:val="28"/>
          <w:lang w:eastAsia="zh-CN"/>
        </w:rPr>
        <w:t xml:space="preserve"> Форма обучения: </w:t>
      </w:r>
      <w:r w:rsidRPr="000C54E9">
        <w:rPr>
          <w:rFonts w:eastAsia="Calibri"/>
          <w:b/>
          <w:bCs/>
          <w:i/>
          <w:sz w:val="28"/>
          <w:szCs w:val="28"/>
          <w:lang w:eastAsia="zh-CN"/>
        </w:rPr>
        <w:t>очная</w:t>
      </w:r>
    </w:p>
    <w:p w:rsidR="007D3717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92DC6" w:rsidRDefault="00792DC6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3A7410" w:rsidRPr="003A7410" w:rsidRDefault="003A7410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EA099E" w:rsidRDefault="003B0C2A" w:rsidP="00EA099E">
          <w:pPr>
            <w:pStyle w:val="a7"/>
            <w:spacing w:before="0" w:line="240" w:lineRule="auto"/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EA099E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:rsidR="00B068D3" w:rsidRPr="00EA099E" w:rsidRDefault="00DB6085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r w:rsidRPr="00DB6085">
            <w:rPr>
              <w:sz w:val="28"/>
              <w:szCs w:val="28"/>
            </w:rPr>
            <w:fldChar w:fldCharType="begin"/>
          </w:r>
          <w:r w:rsidR="003B0C2A" w:rsidRPr="00EA099E">
            <w:rPr>
              <w:sz w:val="28"/>
              <w:szCs w:val="28"/>
            </w:rPr>
            <w:instrText xml:space="preserve"> TOC \o "1-3" \h \z \u </w:instrText>
          </w:r>
          <w:r w:rsidRPr="00DB6085">
            <w:rPr>
              <w:sz w:val="28"/>
              <w:szCs w:val="28"/>
            </w:rPr>
            <w:fldChar w:fldCharType="separate"/>
          </w:r>
          <w:hyperlink w:anchor="_Toc1131401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1.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_Toc1131401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3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DB6085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2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2.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Формы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_Toc1131402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4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DB6085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3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_Toc1131403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DB6085" w:rsidP="00EA099E">
          <w:pPr>
            <w:pStyle w:val="21"/>
            <w:tabs>
              <w:tab w:val="clear" w:pos="284"/>
            </w:tabs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4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3.1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Общие 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_Toc1131404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DB6085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5" w:history="1"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3.2.</w:t>
            </w:r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Методические рекомендации для студентов  по отдельным формам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_Toc1131405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7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DB6085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6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4.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Оценка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_Toc1131406 \h </w:instrText>
            </w:r>
            <w:r w:rsidRPr="00EA099E">
              <w:rPr>
                <w:noProof/>
                <w:webHidden/>
                <w:sz w:val="28"/>
                <w:szCs w:val="28"/>
              </w:rPr>
            </w:r>
            <w:r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11</w:t>
            </w:r>
            <w:r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B0C2A" w:rsidRPr="00792DC6" w:rsidRDefault="00DB6085" w:rsidP="00EA099E">
          <w:pPr>
            <w:jc w:val="both"/>
          </w:pPr>
          <w:r w:rsidRPr="00EA099E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3B0C2A" w:rsidRPr="00792DC6" w:rsidRDefault="003B0C2A" w:rsidP="00792DC6">
      <w:pPr>
        <w:autoSpaceDE w:val="0"/>
        <w:autoSpaceDN w:val="0"/>
        <w:adjustRightInd w:val="0"/>
        <w:rPr>
          <w:b/>
        </w:rPr>
      </w:pPr>
      <w:r w:rsidRPr="00792DC6">
        <w:rPr>
          <w:b/>
          <w:highlight w:val="yellow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121932" w:rsidRPr="00792DC6">
        <w:t>«История мировой философии»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бакалавров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121932" w:rsidRPr="002B7408">
        <w:t xml:space="preserve">«История мировой философии» </w:t>
      </w:r>
      <w:r w:rsidRPr="002B7408">
        <w:t>определены соответствующей рабочей программой дисциплины; трудоемкость</w:t>
      </w:r>
      <w:r w:rsidR="00411946" w:rsidRPr="002B7408">
        <w:t xml:space="preserve"> 76 акад. часов.</w:t>
      </w:r>
      <w:r w:rsidRPr="002B7408">
        <w:t xml:space="preserve"> 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92DC6">
        <w:t>межпредметных</w:t>
      </w:r>
      <w:proofErr w:type="spellEnd"/>
      <w:r w:rsidRPr="00792DC6">
        <w:t xml:space="preserve">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2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801658" w:rsidRPr="002B7408">
        <w:rPr>
          <w:bCs/>
        </w:rPr>
        <w:t>История мировой философии</w:t>
      </w:r>
      <w:r w:rsidRPr="002B7408">
        <w:rPr>
          <w:bCs/>
        </w:rPr>
        <w:t>»</w:t>
      </w:r>
    </w:p>
    <w:p w:rsidR="003B0C2A" w:rsidRPr="002B7408" w:rsidRDefault="003B0C2A" w:rsidP="002B7408">
      <w:pPr>
        <w:autoSpaceDE w:val="0"/>
        <w:autoSpaceDN w:val="0"/>
        <w:adjustRightInd w:val="0"/>
        <w:ind w:firstLine="567"/>
        <w:rPr>
          <w:bCs/>
          <w:iCs/>
        </w:rPr>
      </w:pPr>
      <w:r w:rsidRPr="002B7408">
        <w:rPr>
          <w:bCs/>
        </w:rPr>
        <w:t xml:space="preserve"> </w:t>
      </w:r>
      <w:r w:rsidR="001C3ED9" w:rsidRPr="002B7408">
        <w:rPr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3330"/>
        <w:gridCol w:w="4183"/>
        <w:gridCol w:w="1559"/>
      </w:tblGrid>
      <w:tr w:rsidR="003B0C2A" w:rsidRPr="00792DC6" w:rsidTr="00801658">
        <w:tc>
          <w:tcPr>
            <w:tcW w:w="562" w:type="dxa"/>
          </w:tcPr>
          <w:p w:rsidR="003B0C2A" w:rsidRPr="00792DC6" w:rsidRDefault="003B0C2A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3B0C2A" w:rsidRPr="00792DC6" w:rsidRDefault="003B0C2A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3B0C2A" w:rsidRPr="00792DC6" w:rsidRDefault="003B0C2A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3B0C2A" w:rsidRPr="00792DC6" w:rsidRDefault="001C3ED9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</w:t>
            </w:r>
            <w:r w:rsidR="003B0C2A" w:rsidRPr="00792DC6">
              <w:rPr>
                <w:iCs/>
              </w:rPr>
              <w:t>исциплины</w:t>
            </w:r>
            <w:r w:rsidRPr="00792DC6">
              <w:rPr>
                <w:iCs/>
              </w:rPr>
              <w:t xml:space="preserve">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3B0C2A" w:rsidRPr="00792DC6" w:rsidRDefault="003B0C2A" w:rsidP="00792DC6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3B0C2A" w:rsidRPr="00792DC6" w:rsidRDefault="003B0C2A" w:rsidP="00792DC6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Трудоемкость в часах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  <w:bookmarkStart w:id="3" w:name="_Hlk1124627"/>
            <w:bookmarkStart w:id="4" w:name="_Hlk1124641"/>
          </w:p>
        </w:tc>
        <w:tc>
          <w:tcPr>
            <w:tcW w:w="3330" w:type="dxa"/>
          </w:tcPr>
          <w:p w:rsidR="00696677" w:rsidRPr="00792DC6" w:rsidRDefault="00696677" w:rsidP="00792DC6">
            <w:r w:rsidRPr="00792DC6">
              <w:t>Тема 1. Предмет и метод философии, ее структура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696677" w:rsidRPr="00792DC6" w:rsidRDefault="00696677" w:rsidP="00792DC6">
            <w:r w:rsidRPr="00792DC6">
              <w:t>Тема 2. Философия Древнего Востока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bookmarkEnd w:id="3"/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3. Античная философия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90337A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4. Средневековая философия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5. Европейская философия эпохи Возрождения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6. Европейская философия XVII–XVIII в.</w:t>
            </w:r>
          </w:p>
        </w:tc>
        <w:tc>
          <w:tcPr>
            <w:tcW w:w="4183" w:type="dxa"/>
          </w:tcPr>
          <w:p w:rsidR="00696677" w:rsidRPr="00792DC6" w:rsidRDefault="00734C36" w:rsidP="00792DC6">
            <w:r>
              <w:t>Текущий</w:t>
            </w:r>
            <w:r w:rsidR="00012F2E" w:rsidRPr="00792DC6">
              <w:t xml:space="preserve"> контроль </w:t>
            </w:r>
            <w:r w:rsidR="00CB2E59" w:rsidRPr="00792DC6">
              <w:t xml:space="preserve"> 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7. Немецкая классическая философия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90337A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 xml:space="preserve">Работа с учебно-методической и научной литературой. Поиск информации по теме. Анализ и конспектирование основной и </w:t>
            </w:r>
            <w:r w:rsidRPr="00792DC6">
              <w:lastRenderedPageBreak/>
              <w:t>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696677" w:rsidP="00792DC6">
            <w:pPr>
              <w:tabs>
                <w:tab w:val="left" w:pos="708"/>
              </w:tabs>
              <w:jc w:val="center"/>
            </w:pPr>
            <w:r w:rsidRPr="00792DC6">
              <w:lastRenderedPageBreak/>
              <w:t>2</w:t>
            </w:r>
          </w:p>
        </w:tc>
      </w:tr>
      <w:tr w:rsidR="00696677" w:rsidRPr="00792DC6" w:rsidTr="00801658">
        <w:tc>
          <w:tcPr>
            <w:tcW w:w="562" w:type="dxa"/>
          </w:tcPr>
          <w:p w:rsidR="00696677" w:rsidRPr="00792DC6" w:rsidRDefault="00696677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696677" w:rsidRPr="00792DC6" w:rsidRDefault="00696677" w:rsidP="00792DC6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="0090337A" w:rsidRPr="006473E1">
              <w:t xml:space="preserve"> Учения о сущности человека в философии ХХ в.</w:t>
            </w:r>
          </w:p>
        </w:tc>
        <w:tc>
          <w:tcPr>
            <w:tcW w:w="4183" w:type="dxa"/>
          </w:tcPr>
          <w:p w:rsidR="00696677" w:rsidRPr="00792DC6" w:rsidRDefault="00696677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792DC6" w:rsidRDefault="0090337A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90337A" w:rsidRPr="00792DC6" w:rsidTr="00801658">
        <w:tc>
          <w:tcPr>
            <w:tcW w:w="562" w:type="dxa"/>
          </w:tcPr>
          <w:p w:rsidR="0090337A" w:rsidRPr="00792DC6" w:rsidRDefault="0090337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90337A" w:rsidRPr="00792DC6" w:rsidRDefault="0090337A" w:rsidP="00792DC6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4183" w:type="dxa"/>
          </w:tcPr>
          <w:p w:rsidR="0090337A" w:rsidRPr="00792DC6" w:rsidRDefault="009B7611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0337A" w:rsidRPr="00792DC6" w:rsidRDefault="009B7611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90337A" w:rsidRPr="00792DC6" w:rsidTr="00801658">
        <w:tc>
          <w:tcPr>
            <w:tcW w:w="562" w:type="dxa"/>
          </w:tcPr>
          <w:p w:rsidR="0090337A" w:rsidRPr="00792DC6" w:rsidRDefault="0090337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90337A" w:rsidRPr="00792DC6" w:rsidRDefault="0090337A" w:rsidP="00792DC6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4183" w:type="dxa"/>
          </w:tcPr>
          <w:p w:rsidR="0090337A" w:rsidRPr="00792DC6" w:rsidRDefault="009B7611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0337A" w:rsidRPr="00792DC6" w:rsidRDefault="009B7611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90337A" w:rsidRPr="00792DC6" w:rsidTr="00801658">
        <w:tc>
          <w:tcPr>
            <w:tcW w:w="562" w:type="dxa"/>
          </w:tcPr>
          <w:p w:rsidR="0090337A" w:rsidRPr="00792DC6" w:rsidRDefault="0090337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90337A" w:rsidRPr="00792DC6" w:rsidRDefault="009B7611" w:rsidP="00792DC6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4183" w:type="dxa"/>
          </w:tcPr>
          <w:p w:rsidR="0090337A" w:rsidRPr="00792DC6" w:rsidRDefault="009B7611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0337A" w:rsidRPr="00792DC6" w:rsidRDefault="009B7611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90337A" w:rsidRPr="00792DC6" w:rsidTr="00801658">
        <w:tc>
          <w:tcPr>
            <w:tcW w:w="562" w:type="dxa"/>
          </w:tcPr>
          <w:p w:rsidR="0090337A" w:rsidRPr="00792DC6" w:rsidRDefault="0090337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90337A" w:rsidRPr="00792DC6" w:rsidRDefault="009B7611" w:rsidP="00792DC6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4183" w:type="dxa"/>
          </w:tcPr>
          <w:p w:rsidR="0090337A" w:rsidRPr="00792DC6" w:rsidRDefault="009B7611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0337A" w:rsidRPr="00792DC6" w:rsidRDefault="009B7611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C2024A" w:rsidRPr="00792DC6" w:rsidTr="00801658">
        <w:tc>
          <w:tcPr>
            <w:tcW w:w="562" w:type="dxa"/>
          </w:tcPr>
          <w:p w:rsidR="00C2024A" w:rsidRPr="00792DC6" w:rsidRDefault="00C2024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C2024A" w:rsidRPr="00792DC6" w:rsidRDefault="00C2024A" w:rsidP="00792DC6">
            <w:r w:rsidRPr="00792DC6">
              <w:t>Тема семинара 1. Античная философия</w:t>
            </w:r>
          </w:p>
        </w:tc>
        <w:tc>
          <w:tcPr>
            <w:tcW w:w="4183" w:type="dxa"/>
          </w:tcPr>
          <w:p w:rsidR="00C2024A" w:rsidRPr="00792DC6" w:rsidRDefault="00C2024A" w:rsidP="00792DC6">
            <w:r w:rsidRPr="00792DC6"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792DC6" w:rsidRDefault="00C2024A" w:rsidP="00792DC6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C2024A" w:rsidRPr="00792DC6" w:rsidTr="00801658">
        <w:tc>
          <w:tcPr>
            <w:tcW w:w="562" w:type="dxa"/>
          </w:tcPr>
          <w:p w:rsidR="00C2024A" w:rsidRPr="00792DC6" w:rsidRDefault="00C2024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C2024A" w:rsidRPr="00792DC6" w:rsidRDefault="00C2024A" w:rsidP="00792DC6">
            <w:r w:rsidRPr="00792DC6">
              <w:t>Тема семинара 2. Философия Нового времени</w:t>
            </w:r>
          </w:p>
        </w:tc>
        <w:tc>
          <w:tcPr>
            <w:tcW w:w="4183" w:type="dxa"/>
          </w:tcPr>
          <w:p w:rsidR="00C2024A" w:rsidRPr="00792DC6" w:rsidRDefault="00C2024A" w:rsidP="00792DC6">
            <w:r w:rsidRPr="00792DC6"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792DC6" w:rsidRDefault="00C2024A" w:rsidP="00792DC6">
            <w:pPr>
              <w:tabs>
                <w:tab w:val="left" w:pos="708"/>
              </w:tabs>
              <w:jc w:val="center"/>
            </w:pPr>
            <w:r w:rsidRPr="00792DC6">
              <w:t>4</w:t>
            </w:r>
          </w:p>
        </w:tc>
      </w:tr>
      <w:tr w:rsidR="00C2024A" w:rsidRPr="00792DC6" w:rsidTr="00801658">
        <w:tc>
          <w:tcPr>
            <w:tcW w:w="562" w:type="dxa"/>
          </w:tcPr>
          <w:p w:rsidR="00C2024A" w:rsidRPr="00792DC6" w:rsidRDefault="00C2024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C2024A" w:rsidRPr="00792DC6" w:rsidRDefault="00C2024A" w:rsidP="00792DC6">
            <w:r w:rsidRPr="00792DC6">
              <w:t>Тема семинара 3. Философия ХХ в.</w:t>
            </w:r>
          </w:p>
        </w:tc>
        <w:tc>
          <w:tcPr>
            <w:tcW w:w="4183" w:type="dxa"/>
          </w:tcPr>
          <w:p w:rsidR="00C2024A" w:rsidRPr="00792DC6" w:rsidRDefault="00C2024A" w:rsidP="00792DC6">
            <w:r w:rsidRPr="00792DC6"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792DC6" w:rsidRDefault="001632DD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90337A" w:rsidRPr="00792DC6" w:rsidTr="00801658">
        <w:tc>
          <w:tcPr>
            <w:tcW w:w="562" w:type="dxa"/>
          </w:tcPr>
          <w:p w:rsidR="0090337A" w:rsidRPr="00792DC6" w:rsidRDefault="0090337A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90337A" w:rsidRPr="00792DC6" w:rsidRDefault="009B7611" w:rsidP="00792DC6">
            <w:r>
              <w:t>Тема семинара 4. Глобализация и современная философия</w:t>
            </w:r>
          </w:p>
        </w:tc>
        <w:tc>
          <w:tcPr>
            <w:tcW w:w="4183" w:type="dxa"/>
          </w:tcPr>
          <w:p w:rsidR="0090337A" w:rsidRPr="00792DC6" w:rsidRDefault="009B7611" w:rsidP="00792DC6">
            <w:r w:rsidRPr="00792DC6">
              <w:t>Доклад (презентация)</w:t>
            </w:r>
            <w:r>
              <w:t>; Подготовка к зачету</w:t>
            </w:r>
          </w:p>
        </w:tc>
        <w:tc>
          <w:tcPr>
            <w:tcW w:w="1559" w:type="dxa"/>
            <w:vAlign w:val="center"/>
          </w:tcPr>
          <w:p w:rsidR="0090337A" w:rsidRPr="00792DC6" w:rsidRDefault="001632DD" w:rsidP="00792DC6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bookmarkEnd w:id="4"/>
      <w:tr w:rsidR="001A508C" w:rsidRPr="00792DC6" w:rsidTr="00801658">
        <w:tc>
          <w:tcPr>
            <w:tcW w:w="562" w:type="dxa"/>
          </w:tcPr>
          <w:p w:rsidR="001A508C" w:rsidRPr="00792DC6" w:rsidRDefault="001A508C" w:rsidP="00792DC6"/>
        </w:tc>
        <w:tc>
          <w:tcPr>
            <w:tcW w:w="3330" w:type="dxa"/>
          </w:tcPr>
          <w:p w:rsidR="001A508C" w:rsidRPr="00792DC6" w:rsidRDefault="001A508C" w:rsidP="00792DC6">
            <w:pPr>
              <w:jc w:val="right"/>
              <w:rPr>
                <w:b/>
              </w:rPr>
            </w:pPr>
            <w:r w:rsidRPr="00792DC6">
              <w:rPr>
                <w:b/>
              </w:rPr>
              <w:t xml:space="preserve">Всего часов </w:t>
            </w:r>
            <w:r w:rsidR="00801658" w:rsidRPr="00792DC6">
              <w:rPr>
                <w:b/>
              </w:rPr>
              <w:br/>
            </w:r>
            <w:r w:rsidRPr="00792DC6">
              <w:rPr>
                <w:b/>
              </w:rPr>
              <w:t xml:space="preserve">самостоятельной работы </w:t>
            </w:r>
          </w:p>
        </w:tc>
        <w:tc>
          <w:tcPr>
            <w:tcW w:w="4183" w:type="dxa"/>
          </w:tcPr>
          <w:p w:rsidR="001A508C" w:rsidRPr="00792DC6" w:rsidRDefault="001A508C" w:rsidP="00792DC6">
            <w:pPr>
              <w:jc w:val="right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1A508C" w:rsidRPr="00792DC6" w:rsidRDefault="009B7611" w:rsidP="001632DD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2DD">
              <w:rPr>
                <w:b/>
              </w:rPr>
              <w:t>4</w:t>
            </w:r>
          </w:p>
        </w:tc>
      </w:tr>
    </w:tbl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13140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5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6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7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556"/>
        <w:gridCol w:w="2096"/>
        <w:gridCol w:w="6919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Задача вторичного чтения полное усвоение смысла целого (по счету </w:t>
            </w:r>
            <w:r w:rsidRPr="00792DC6">
              <w:lastRenderedPageBreak/>
              <w:t>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После изучения определенной темы по записям в конспекте и </w:t>
            </w:r>
            <w:r w:rsidRPr="00792DC6">
              <w:lastRenderedPageBreak/>
              <w:t>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Для доклада необходимо четко представлять, что есть предмет и объект доклада. Понимание объекта и предмета доклада необходимо </w:t>
            </w:r>
            <w:r w:rsidRPr="00792DC6">
              <w:lastRenderedPageBreak/>
              <w:t>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Pr="00EA099E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E15DB4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Pr="00E15DB4" w:rsidRDefault="00E15DB4" w:rsidP="00E15DB4">
            <w:pPr>
              <w:pStyle w:val="a9"/>
              <w:numPr>
                <w:ilvl w:val="0"/>
                <w:numId w:val="16"/>
              </w:numPr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15DB4" w:rsidRDefault="00E15DB4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E15DB4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E15DB4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E15DB4" w:rsidRDefault="00E15DB4" w:rsidP="00E15DB4">
      <w:pPr>
        <w:jc w:val="center"/>
        <w:rPr>
          <w:b/>
        </w:rPr>
      </w:pPr>
    </w:p>
    <w:p w:rsidR="00E15DB4" w:rsidRDefault="00E15DB4" w:rsidP="00E15DB4">
      <w:pPr>
        <w:jc w:val="center"/>
        <w:rPr>
          <w:b/>
        </w:rPr>
      </w:pPr>
    </w:p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E15DB4" w:rsidTr="000C678D">
        <w:trPr>
          <w:tblHeader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E15DB4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</w:t>
            </w:r>
            <w:r>
              <w:rPr>
                <w:iCs/>
              </w:rPr>
              <w:lastRenderedPageBreak/>
              <w:t xml:space="preserve">высокого уровня сложности, правильно обосновывает принятые решения.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15DB4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«зачтено (хорошо)»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E15DB4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E15DB4" w:rsidRDefault="00E15DB4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E15DB4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обучающемуся с учётом </w:t>
            </w:r>
            <w:r>
              <w:rPr>
                <w:iCs/>
              </w:rPr>
              <w:lastRenderedPageBreak/>
              <w:t>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3B0C2A" w:rsidRPr="00792DC6" w:rsidRDefault="003B0C2A" w:rsidP="00792DC6">
      <w:pPr>
        <w:ind w:firstLine="720"/>
        <w:jc w:val="both"/>
        <w:rPr>
          <w:iCs/>
          <w:color w:val="000000" w:themeColor="text1"/>
        </w:rPr>
      </w:pP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Составлено</w:t>
      </w:r>
      <w:r w:rsidR="00570142" w:rsidRPr="00792DC6">
        <w:rPr>
          <w:lang w:eastAsia="zh-CN"/>
        </w:rPr>
        <w:t xml:space="preserve"> в соответствии с требованиями ФГОС ВО по направлению </w:t>
      </w: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Автор</w:t>
      </w:r>
      <w:r w:rsidR="00570142" w:rsidRPr="00792DC6">
        <w:rPr>
          <w:lang w:eastAsia="zh-CN"/>
        </w:rPr>
        <w:t xml:space="preserve">: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p w:rsidR="00EA099E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Одобрено на заседании кафедры философии</w:t>
      </w:r>
      <w:r w:rsidR="008E07C2">
        <w:rPr>
          <w:lang w:eastAsia="zh-CN"/>
        </w:rPr>
        <w:t xml:space="preserve"> 30 августа</w:t>
      </w:r>
      <w:r>
        <w:rPr>
          <w:lang w:eastAsia="zh-CN"/>
        </w:rPr>
        <w:t xml:space="preserve"> 2021 года, протокол №</w:t>
      </w:r>
      <w:r w:rsidR="008E07C2">
        <w:rPr>
          <w:lang w:eastAsia="zh-CN"/>
        </w:rPr>
        <w:t xml:space="preserve"> 2</w:t>
      </w:r>
    </w:p>
    <w:p w:rsidR="00570142" w:rsidRPr="00792DC6" w:rsidRDefault="00570142" w:rsidP="00792DC6"/>
    <w:sectPr w:rsidR="00570142" w:rsidRPr="00792DC6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C98" w:rsidRDefault="00795C98" w:rsidP="003B0C2A">
      <w:r>
        <w:separator/>
      </w:r>
    </w:p>
  </w:endnote>
  <w:endnote w:type="continuationSeparator" w:id="0">
    <w:p w:rsidR="00795C98" w:rsidRDefault="00795C98" w:rsidP="003B0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66984"/>
      <w:docPartObj>
        <w:docPartGallery w:val="Page Numbers (Bottom of Page)"/>
        <w:docPartUnique/>
      </w:docPartObj>
    </w:sdtPr>
    <w:sdtContent>
      <w:p w:rsidR="008E07C2" w:rsidRDefault="00DB6085">
        <w:pPr>
          <w:pStyle w:val="a5"/>
          <w:jc w:val="right"/>
        </w:pPr>
        <w:r>
          <w:fldChar w:fldCharType="begin"/>
        </w:r>
        <w:r w:rsidR="008E07C2">
          <w:instrText>PAGE   \* MERGEFORMAT</w:instrText>
        </w:r>
        <w:r>
          <w:fldChar w:fldCharType="separate"/>
        </w:r>
        <w:r w:rsidR="001632DD">
          <w:rPr>
            <w:noProof/>
          </w:rPr>
          <w:t>6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C98" w:rsidRDefault="00795C98" w:rsidP="003B0C2A">
      <w:r>
        <w:separator/>
      </w:r>
    </w:p>
  </w:footnote>
  <w:footnote w:type="continuationSeparator" w:id="0">
    <w:p w:rsidR="00795C98" w:rsidRDefault="00795C98" w:rsidP="003B0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621511"/>
      <w:docPartObj>
        <w:docPartGallery w:val="Page Numbers (Top of Page)"/>
        <w:docPartUnique/>
      </w:docPartObj>
    </w:sdtPr>
    <w:sdtContent>
      <w:p w:rsidR="008E07C2" w:rsidRDefault="008E07C2" w:rsidP="008E07C2">
        <w:pPr>
          <w:pStyle w:val="a3"/>
        </w:pPr>
      </w:p>
      <w:p w:rsidR="003A7410" w:rsidRDefault="00DB6085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B0C2A"/>
    <w:rsid w:val="00003533"/>
    <w:rsid w:val="00012F2E"/>
    <w:rsid w:val="00024947"/>
    <w:rsid w:val="00040EEC"/>
    <w:rsid w:val="00083343"/>
    <w:rsid w:val="000A61D3"/>
    <w:rsid w:val="000C4ECB"/>
    <w:rsid w:val="000C54E9"/>
    <w:rsid w:val="000F64EA"/>
    <w:rsid w:val="00121932"/>
    <w:rsid w:val="00124229"/>
    <w:rsid w:val="0013120A"/>
    <w:rsid w:val="001447C8"/>
    <w:rsid w:val="001632DD"/>
    <w:rsid w:val="001A1941"/>
    <w:rsid w:val="001A508C"/>
    <w:rsid w:val="001C3ED9"/>
    <w:rsid w:val="001C50EA"/>
    <w:rsid w:val="001D69FD"/>
    <w:rsid w:val="002B7408"/>
    <w:rsid w:val="002E1DB4"/>
    <w:rsid w:val="003201A2"/>
    <w:rsid w:val="00321A5F"/>
    <w:rsid w:val="003256CD"/>
    <w:rsid w:val="003A7410"/>
    <w:rsid w:val="003A7A09"/>
    <w:rsid w:val="003B0C2A"/>
    <w:rsid w:val="003B446A"/>
    <w:rsid w:val="003E058A"/>
    <w:rsid w:val="00411946"/>
    <w:rsid w:val="004139AE"/>
    <w:rsid w:val="004340F5"/>
    <w:rsid w:val="004A5C53"/>
    <w:rsid w:val="00514E1A"/>
    <w:rsid w:val="00570142"/>
    <w:rsid w:val="005822A5"/>
    <w:rsid w:val="00627576"/>
    <w:rsid w:val="006556C0"/>
    <w:rsid w:val="006742FF"/>
    <w:rsid w:val="00677F78"/>
    <w:rsid w:val="00690BAF"/>
    <w:rsid w:val="00696677"/>
    <w:rsid w:val="006A0100"/>
    <w:rsid w:val="006B4E45"/>
    <w:rsid w:val="006C2FF0"/>
    <w:rsid w:val="006C6FFE"/>
    <w:rsid w:val="006E45AC"/>
    <w:rsid w:val="006F2DC5"/>
    <w:rsid w:val="00706B0F"/>
    <w:rsid w:val="00734C36"/>
    <w:rsid w:val="00761E5C"/>
    <w:rsid w:val="00774E58"/>
    <w:rsid w:val="007909A4"/>
    <w:rsid w:val="00792968"/>
    <w:rsid w:val="00792DC6"/>
    <w:rsid w:val="00795C98"/>
    <w:rsid w:val="007B7881"/>
    <w:rsid w:val="007C2120"/>
    <w:rsid w:val="007C26D3"/>
    <w:rsid w:val="007C60AA"/>
    <w:rsid w:val="007D3717"/>
    <w:rsid w:val="00801658"/>
    <w:rsid w:val="008140CD"/>
    <w:rsid w:val="00830A11"/>
    <w:rsid w:val="008A223B"/>
    <w:rsid w:val="008E07C2"/>
    <w:rsid w:val="0090337A"/>
    <w:rsid w:val="0092201F"/>
    <w:rsid w:val="0097514C"/>
    <w:rsid w:val="009A5EF1"/>
    <w:rsid w:val="009B7611"/>
    <w:rsid w:val="009E32C7"/>
    <w:rsid w:val="00A013DD"/>
    <w:rsid w:val="00A07F16"/>
    <w:rsid w:val="00A3162E"/>
    <w:rsid w:val="00A36B0E"/>
    <w:rsid w:val="00A76F55"/>
    <w:rsid w:val="00B039D9"/>
    <w:rsid w:val="00B068D3"/>
    <w:rsid w:val="00B17CDA"/>
    <w:rsid w:val="00C2024A"/>
    <w:rsid w:val="00C22088"/>
    <w:rsid w:val="00C42873"/>
    <w:rsid w:val="00C52188"/>
    <w:rsid w:val="00C7545C"/>
    <w:rsid w:val="00CB2E59"/>
    <w:rsid w:val="00CC015D"/>
    <w:rsid w:val="00D05AB8"/>
    <w:rsid w:val="00D144F8"/>
    <w:rsid w:val="00D64CFF"/>
    <w:rsid w:val="00DA1B1B"/>
    <w:rsid w:val="00DA555E"/>
    <w:rsid w:val="00DA6967"/>
    <w:rsid w:val="00DA6BDD"/>
    <w:rsid w:val="00DB6085"/>
    <w:rsid w:val="00DF0BFE"/>
    <w:rsid w:val="00E15DB4"/>
    <w:rsid w:val="00E230B7"/>
    <w:rsid w:val="00E64A9C"/>
    <w:rsid w:val="00E96474"/>
    <w:rsid w:val="00EA099E"/>
    <w:rsid w:val="00ED312A"/>
    <w:rsid w:val="00EE1D51"/>
    <w:rsid w:val="00F05687"/>
    <w:rsid w:val="00F4170C"/>
    <w:rsid w:val="00F66C8B"/>
    <w:rsid w:val="00F83595"/>
    <w:rsid w:val="00F9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5E7C-A0BF-4762-A8A8-CDB238AC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Ivanjko</cp:lastModifiedBy>
  <cp:revision>6</cp:revision>
  <dcterms:created xsi:type="dcterms:W3CDTF">2022-02-23T18:59:00Z</dcterms:created>
  <dcterms:modified xsi:type="dcterms:W3CDTF">2023-02-06T15:14:00Z</dcterms:modified>
</cp:coreProperties>
</file>